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A434B">
      <w:pPr>
        <w:spacing w:line="480" w:lineRule="exact"/>
        <w:jc w:val="center"/>
        <w:rPr>
          <w:rFonts w:hint="eastAsia" w:ascii="方正小标宋简体" w:hAnsi="黑体" w:eastAsia="方正小标宋简体" w:cs="黑体"/>
          <w:b/>
          <w:bCs/>
          <w:sz w:val="32"/>
          <w:szCs w:val="32"/>
        </w:rPr>
      </w:pPr>
      <w:r>
        <w:rPr>
          <w:rFonts w:hint="eastAsia" w:ascii="方正小标宋简体" w:hAnsi="黑体" w:eastAsia="方正小标宋简体" w:cs="黑体"/>
          <w:b/>
          <w:bCs/>
          <w:sz w:val="32"/>
          <w:szCs w:val="32"/>
          <w:lang w:val="en-US" w:eastAsia="zh-CN"/>
        </w:rPr>
        <w:t>海南师范</w:t>
      </w:r>
      <w:r>
        <w:rPr>
          <w:rFonts w:hint="eastAsia" w:ascii="方正小标宋简体" w:hAnsi="黑体" w:eastAsia="方正小标宋简体" w:cs="黑体"/>
          <w:b/>
          <w:bCs/>
          <w:sz w:val="32"/>
          <w:szCs w:val="32"/>
        </w:rPr>
        <w:t>大学</w:t>
      </w:r>
      <w:r>
        <w:rPr>
          <w:rFonts w:hint="eastAsia" w:ascii="方正小标宋简体" w:hAnsi="黑体" w:eastAsia="方正小标宋简体" w:cs="黑体"/>
          <w:b/>
          <w:bCs/>
          <w:sz w:val="32"/>
          <w:szCs w:val="32"/>
          <w:lang w:val="en-US" w:eastAsia="zh-CN"/>
        </w:rPr>
        <w:t>工程项目采购招标</w:t>
      </w:r>
      <w:r>
        <w:rPr>
          <w:rFonts w:hint="eastAsia" w:ascii="方正小标宋简体" w:hAnsi="黑体" w:eastAsia="方正小标宋简体" w:cs="黑体"/>
          <w:b/>
          <w:bCs/>
          <w:sz w:val="32"/>
          <w:szCs w:val="32"/>
        </w:rPr>
        <w:t>申</w:t>
      </w:r>
      <w:r>
        <w:rPr>
          <w:rFonts w:hint="eastAsia" w:ascii="方正小标宋简体" w:hAnsi="黑体" w:eastAsia="方正小标宋简体" w:cs="黑体"/>
          <w:b/>
          <w:bCs/>
          <w:sz w:val="32"/>
          <w:szCs w:val="32"/>
          <w:lang w:val="en-US" w:eastAsia="zh-CN"/>
        </w:rPr>
        <w:t>请</w:t>
      </w:r>
      <w:r>
        <w:rPr>
          <w:rFonts w:hint="eastAsia" w:ascii="方正小标宋简体" w:hAnsi="黑体" w:eastAsia="方正小标宋简体" w:cs="黑体"/>
          <w:b/>
          <w:bCs/>
          <w:sz w:val="32"/>
          <w:szCs w:val="32"/>
        </w:rPr>
        <w:t>表</w:t>
      </w:r>
    </w:p>
    <w:p w14:paraId="2F658C2B">
      <w:pPr>
        <w:spacing w:line="48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50万元及以上</w:t>
      </w:r>
      <w:r>
        <w:rPr>
          <w:rFonts w:hint="eastAsia" w:ascii="仿宋_GB2312" w:hAnsi="仿宋_GB2312" w:eastAsia="仿宋_GB2312" w:cs="仿宋_GB2312"/>
          <w:b/>
          <w:bCs/>
          <w:sz w:val="24"/>
          <w:szCs w:val="24"/>
          <w:lang w:eastAsia="zh-CN"/>
        </w:rPr>
        <w:t>）</w:t>
      </w:r>
    </w:p>
    <w:p w14:paraId="1B0E4BE6">
      <w:pPr>
        <w:spacing w:line="240" w:lineRule="exact"/>
        <w:jc w:val="center"/>
        <w:rPr>
          <w:rFonts w:ascii="方正小标宋简体" w:hAnsi="黑体" w:eastAsia="方正小标宋简体" w:cs="黑体"/>
          <w:b/>
          <w:bCs/>
          <w:sz w:val="28"/>
          <w:szCs w:val="28"/>
        </w:rPr>
      </w:pPr>
    </w:p>
    <w:tbl>
      <w:tblPr>
        <w:tblStyle w:val="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9"/>
        <w:gridCol w:w="1935"/>
        <w:gridCol w:w="1339"/>
        <w:gridCol w:w="3087"/>
      </w:tblGrid>
      <w:tr w14:paraId="4854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179" w:type="dxa"/>
            <w:vAlign w:val="center"/>
          </w:tcPr>
          <w:p w14:paraId="04EB4585">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项目名称</w:t>
            </w:r>
          </w:p>
        </w:tc>
        <w:tc>
          <w:tcPr>
            <w:tcW w:w="6361" w:type="dxa"/>
            <w:gridSpan w:val="3"/>
            <w:vAlign w:val="center"/>
          </w:tcPr>
          <w:p w14:paraId="741DE402">
            <w:pPr>
              <w:keepNext w:val="0"/>
              <w:keepLines w:val="0"/>
              <w:pageBreakBefore w:val="0"/>
              <w:widowControl w:val="0"/>
              <w:tabs>
                <w:tab w:val="left" w:pos="1341"/>
              </w:tabs>
              <w:kinsoku/>
              <w:wordWrap/>
              <w:overflowPunct/>
              <w:topLinePunct w:val="0"/>
              <w:autoSpaceDE/>
              <w:autoSpaceDN/>
              <w:bidi w:val="0"/>
              <w:adjustRightInd/>
              <w:snapToGrid/>
              <w:spacing w:line="240" w:lineRule="atLeast"/>
              <w:textAlignment w:val="auto"/>
              <w:rPr>
                <w:rFonts w:hint="eastAsia" w:ascii="仿宋_GB2312" w:hAnsi="仿宋" w:eastAsia="仿宋"/>
                <w:sz w:val="24"/>
                <w:szCs w:val="24"/>
                <w:lang w:val="en-US" w:eastAsia="zh-CN"/>
              </w:rPr>
            </w:pPr>
            <w:r>
              <w:rPr>
                <w:rFonts w:hint="eastAsia" w:ascii="仿宋" w:hAnsi="仿宋" w:eastAsia="仿宋" w:cs="仿宋"/>
                <w:sz w:val="24"/>
                <w:szCs w:val="24"/>
                <w:highlight w:val="none"/>
                <w:lang w:val="en-US" w:eastAsia="zh-CN"/>
              </w:rPr>
              <w:t>海南师范大学桂林洋校区基础设施配套项目代管单位比选</w:t>
            </w:r>
          </w:p>
        </w:tc>
      </w:tr>
      <w:tr w14:paraId="26DE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3179" w:type="dxa"/>
            <w:vAlign w:val="center"/>
          </w:tcPr>
          <w:p w14:paraId="0D27631F">
            <w:pPr>
              <w:tabs>
                <w:tab w:val="left" w:pos="1341"/>
              </w:tabs>
              <w:spacing w:line="300" w:lineRule="exact"/>
              <w:rPr>
                <w:rFonts w:hint="eastAsia" w:ascii="仿宋_GB2312" w:hAnsi="仿宋" w:eastAsia="仿宋_GB2312" w:cs="仿宋"/>
                <w:sz w:val="24"/>
                <w:szCs w:val="24"/>
              </w:rPr>
            </w:pPr>
            <w:r>
              <w:rPr>
                <w:rFonts w:hint="eastAsia" w:ascii="仿宋_GB2312" w:hAnsi="仿宋" w:eastAsia="仿宋_GB2312" w:cs="仿宋"/>
                <w:sz w:val="24"/>
                <w:szCs w:val="24"/>
              </w:rPr>
              <w:t>立项依据（项目或文件），资金来源及概算金额（元）</w:t>
            </w:r>
          </w:p>
        </w:tc>
        <w:tc>
          <w:tcPr>
            <w:tcW w:w="6361" w:type="dxa"/>
            <w:gridSpan w:val="3"/>
          </w:tcPr>
          <w:p w14:paraId="2690D37C">
            <w:pPr>
              <w:keepNext w:val="0"/>
              <w:keepLines w:val="0"/>
              <w:pageBreakBefore w:val="0"/>
              <w:widowControl w:val="0"/>
              <w:tabs>
                <w:tab w:val="left" w:pos="1341"/>
              </w:tabs>
              <w:kinsoku/>
              <w:wordWrap/>
              <w:overflowPunct/>
              <w:topLinePunct w:val="0"/>
              <w:autoSpaceDE/>
              <w:autoSpaceDN/>
              <w:bidi w:val="0"/>
              <w:adjustRightInd/>
              <w:snapToGrid/>
              <w:spacing w:line="240" w:lineRule="atLeast"/>
              <w:textAlignment w:val="auto"/>
              <w:rPr>
                <w:rFonts w:hint="default" w:ascii="仿宋_GB2312" w:hAnsi="仿宋" w:eastAsia="仿宋_GB2312" w:cs="仿宋"/>
                <w:sz w:val="24"/>
                <w:szCs w:val="24"/>
                <w:lang w:val="en-US" w:eastAsia="zh-CN"/>
              </w:rPr>
            </w:pPr>
            <w:r>
              <w:rPr>
                <w:rFonts w:hint="eastAsia" w:ascii="仿宋" w:hAnsi="仿宋" w:eastAsia="仿宋" w:cs="仿宋"/>
                <w:sz w:val="24"/>
                <w:szCs w:val="24"/>
                <w:highlight w:val="none"/>
                <w:lang w:val="en-US" w:eastAsia="zh-CN"/>
              </w:rPr>
              <w:t>根据《推进海南师范大学桂林洋校区基础设施建设工作方案》，拟建设我校</w:t>
            </w:r>
            <w:r>
              <w:rPr>
                <w:rFonts w:hint="eastAsia" w:ascii="仿宋" w:hAnsi="仿宋" w:eastAsia="仿宋" w:cs="仿宋"/>
                <w:sz w:val="24"/>
                <w:szCs w:val="24"/>
              </w:rPr>
              <w:t>桂林洋校区基础设施配套项目</w:t>
            </w:r>
            <w:r>
              <w:rPr>
                <w:rFonts w:hint="eastAsia" w:ascii="仿宋" w:hAnsi="仿宋" w:eastAsia="仿宋" w:cs="仿宋"/>
                <w:sz w:val="24"/>
                <w:szCs w:val="24"/>
                <w:highlight w:val="none"/>
                <w:lang w:val="en-US" w:eastAsia="zh-CN"/>
              </w:rPr>
              <w:t>，项目资金来源为财政资金，项目总投资估算金额为73655万元，目前概算未批复，本项目比选代管控制费为：项目审批部门批准的项目建设管理费的90%。</w:t>
            </w:r>
          </w:p>
        </w:tc>
      </w:tr>
      <w:tr w14:paraId="1988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79" w:type="dxa"/>
            <w:vAlign w:val="center"/>
          </w:tcPr>
          <w:p w14:paraId="3367190C">
            <w:pPr>
              <w:tabs>
                <w:tab w:val="left" w:pos="1341"/>
              </w:tabs>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项目概况说明及采购需求</w:t>
            </w:r>
          </w:p>
          <w:p w14:paraId="37775E01">
            <w:pPr>
              <w:spacing w:line="360" w:lineRule="exact"/>
              <w:rPr>
                <w:rFonts w:hint="eastAsia" w:ascii="仿宋_GB2312" w:hAnsi="仿宋" w:eastAsia="仿宋_GB2312" w:cs="仿宋"/>
                <w:b/>
                <w:bCs/>
                <w:i/>
                <w:iCs/>
                <w:sz w:val="24"/>
                <w:szCs w:val="24"/>
                <w:lang w:val="en-US" w:eastAsia="zh-CN"/>
              </w:rPr>
            </w:pPr>
            <w:r>
              <w:rPr>
                <w:rFonts w:hint="eastAsia" w:ascii="仿宋_GB2312" w:hAnsi="仿宋" w:eastAsia="仿宋_GB2312" w:cs="仿宋"/>
                <w:b/>
                <w:bCs/>
                <w:i/>
                <w:iCs/>
                <w:sz w:val="24"/>
                <w:szCs w:val="24"/>
                <w:lang w:val="en-US" w:eastAsia="zh-CN"/>
              </w:rPr>
              <w:t>（以附件形式附页）</w:t>
            </w:r>
          </w:p>
          <w:p w14:paraId="2205D2B4">
            <w:pPr>
              <w:tabs>
                <w:tab w:val="left" w:pos="1341"/>
              </w:tabs>
              <w:rPr>
                <w:rFonts w:hint="default" w:ascii="仿宋_GB2312" w:hAnsi="仿宋" w:eastAsia="仿宋_GB2312" w:cs="仿宋"/>
                <w:sz w:val="24"/>
                <w:szCs w:val="24"/>
                <w:lang w:val="en-US" w:eastAsia="zh-CN"/>
              </w:rPr>
            </w:pPr>
          </w:p>
        </w:tc>
        <w:tc>
          <w:tcPr>
            <w:tcW w:w="6361" w:type="dxa"/>
            <w:gridSpan w:val="3"/>
          </w:tcPr>
          <w:p w14:paraId="27132B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项目概况（最终以批复初步设计及概算为准）：建设内容为桂林洋校区二期道路及配套工程，包括道路工程、桥涵工程、给排水工程、电力（管线）工程、照明工程、交通工程、通信工程、安防工程、绿化工程、开闭所、水系园林工程、风雨长廊工程、围墙工程、污水系统改造及生态停车场等。建设地点为海南师范大学桂林洋校区。</w:t>
            </w:r>
          </w:p>
          <w:p w14:paraId="7EBA2D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二、采购内容：项目代管</w:t>
            </w:r>
            <w:r>
              <w:rPr>
                <w:rFonts w:hint="eastAsia" w:ascii="仿宋" w:hAnsi="仿宋" w:eastAsia="仿宋" w:cs="仿宋"/>
                <w:sz w:val="24"/>
                <w:szCs w:val="24"/>
              </w:rPr>
              <w:t>单位</w:t>
            </w:r>
            <w:r>
              <w:rPr>
                <w:rFonts w:hint="eastAsia" w:ascii="仿宋" w:hAnsi="仿宋" w:eastAsia="仿宋" w:cs="仿宋"/>
                <w:sz w:val="24"/>
                <w:szCs w:val="24"/>
                <w:lang w:val="en-US" w:eastAsia="zh-CN"/>
              </w:rPr>
              <w:t>采购。</w:t>
            </w:r>
          </w:p>
          <w:p w14:paraId="49E861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default" w:ascii="仿宋_GB2312" w:eastAsia="仿宋_GB2312"/>
                <w:i/>
                <w:iCs/>
                <w:color w:val="FF0000"/>
                <w:sz w:val="24"/>
                <w:szCs w:val="24"/>
                <w:lang w:val="en-US" w:eastAsia="zh-CN"/>
              </w:rPr>
            </w:pPr>
            <w:r>
              <w:rPr>
                <w:rFonts w:hint="eastAsia" w:ascii="仿宋" w:hAnsi="仿宋" w:eastAsia="仿宋" w:cs="仿宋"/>
                <w:sz w:val="24"/>
                <w:szCs w:val="24"/>
                <w:lang w:val="en-US" w:eastAsia="zh-CN"/>
              </w:rPr>
              <w:t>三、采购需求：详见附页。</w:t>
            </w:r>
          </w:p>
        </w:tc>
      </w:tr>
      <w:tr w14:paraId="05EB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179" w:type="dxa"/>
            <w:vAlign w:val="center"/>
          </w:tcPr>
          <w:p w14:paraId="049C69E0">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申请单位经办人</w:t>
            </w:r>
          </w:p>
        </w:tc>
        <w:tc>
          <w:tcPr>
            <w:tcW w:w="1935" w:type="dxa"/>
            <w:vAlign w:val="center"/>
          </w:tcPr>
          <w:p w14:paraId="6B589F63">
            <w:pPr>
              <w:tabs>
                <w:tab w:val="left" w:pos="1341"/>
              </w:tabs>
              <w:rPr>
                <w:rFonts w:hint="eastAsia" w:ascii="仿宋_GB2312" w:hAnsi="仿宋" w:eastAsia="仿宋_GB2312"/>
                <w:sz w:val="24"/>
                <w:szCs w:val="24"/>
                <w:lang w:eastAsia="zh-CN"/>
              </w:rPr>
            </w:pPr>
            <w:r>
              <w:rPr>
                <w:rFonts w:hint="eastAsia" w:ascii="仿宋" w:hAnsi="仿宋" w:eastAsia="仿宋" w:cs="仿宋"/>
                <w:sz w:val="24"/>
                <w:szCs w:val="24"/>
                <w:lang w:val="en-US" w:eastAsia="zh-CN"/>
              </w:rPr>
              <w:t>曾海燕</w:t>
            </w:r>
          </w:p>
        </w:tc>
        <w:tc>
          <w:tcPr>
            <w:tcW w:w="1339" w:type="dxa"/>
            <w:vAlign w:val="center"/>
          </w:tcPr>
          <w:p w14:paraId="4EB6BEFF">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联系电话</w:t>
            </w:r>
          </w:p>
        </w:tc>
        <w:tc>
          <w:tcPr>
            <w:tcW w:w="3087" w:type="dxa"/>
            <w:vAlign w:val="center"/>
          </w:tcPr>
          <w:p w14:paraId="5281A8F7">
            <w:pPr>
              <w:tabs>
                <w:tab w:val="left" w:pos="1341"/>
              </w:tabs>
              <w:rPr>
                <w:rFonts w:hint="default" w:ascii="仿宋_GB2312" w:hAnsi="仿宋" w:eastAsia="仿宋_GB2312"/>
                <w:sz w:val="24"/>
                <w:szCs w:val="24"/>
                <w:lang w:val="en-US" w:eastAsia="zh-CN"/>
              </w:rPr>
            </w:pPr>
            <w:r>
              <w:rPr>
                <w:rFonts w:hint="eastAsia" w:ascii="仿宋" w:hAnsi="仿宋" w:eastAsia="仿宋" w:cs="仿宋"/>
                <w:sz w:val="24"/>
                <w:szCs w:val="24"/>
                <w:lang w:val="en-US" w:eastAsia="zh-CN"/>
              </w:rPr>
              <w:t>089865802253</w:t>
            </w:r>
          </w:p>
        </w:tc>
      </w:tr>
      <w:tr w14:paraId="76CB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096E6451">
            <w:pPr>
              <w:tabs>
                <w:tab w:val="left" w:pos="1341"/>
              </w:tabs>
              <w:jc w:val="center"/>
              <w:rPr>
                <w:rFonts w:hint="default" w:ascii="仿宋_GB2312" w:hAnsi="仿宋" w:eastAsia="仿宋_GB2312"/>
                <w:sz w:val="24"/>
                <w:szCs w:val="24"/>
                <w:lang w:val="en-US" w:eastAsia="zh-CN"/>
              </w:rPr>
            </w:pPr>
            <w:r>
              <w:rPr>
                <w:rFonts w:hint="eastAsia" w:ascii="仿宋_GB2312" w:hAnsi="仿宋" w:eastAsia="仿宋_GB2312"/>
                <w:b/>
                <w:bCs/>
                <w:sz w:val="24"/>
                <w:szCs w:val="24"/>
                <w:lang w:val="en-US" w:eastAsia="zh-CN"/>
              </w:rPr>
              <w:t>审 批 意 见</w:t>
            </w:r>
          </w:p>
        </w:tc>
      </w:tr>
      <w:tr w14:paraId="7689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2642BC7A">
            <w:pPr>
              <w:tabs>
                <w:tab w:val="left" w:pos="1341"/>
              </w:tabs>
              <w:jc w:val="left"/>
              <w:rPr>
                <w:rFonts w:hint="eastAsia"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所在单位意见：</w:t>
            </w:r>
          </w:p>
          <w:p w14:paraId="6FFA4988">
            <w:pPr>
              <w:tabs>
                <w:tab w:val="left" w:pos="1341"/>
              </w:tabs>
              <w:jc w:val="center"/>
              <w:rPr>
                <w:rFonts w:hint="default" w:ascii="仿宋_GB2312" w:hAnsi="仿宋" w:eastAsia="仿宋_GB2312"/>
                <w:b/>
                <w:bCs/>
                <w:sz w:val="24"/>
                <w:szCs w:val="24"/>
                <w:lang w:val="en-US" w:eastAsia="zh-CN"/>
              </w:rPr>
            </w:pPr>
          </w:p>
          <w:p w14:paraId="2F138457">
            <w:pPr>
              <w:tabs>
                <w:tab w:val="left" w:pos="1341"/>
              </w:tabs>
              <w:jc w:val="center"/>
              <w:rPr>
                <w:rFonts w:hint="default" w:ascii="仿宋_GB2312" w:hAnsi="仿宋" w:eastAsia="仿宋_GB2312"/>
                <w:b/>
                <w:bCs/>
                <w:sz w:val="24"/>
                <w:szCs w:val="24"/>
                <w:lang w:val="en-US" w:eastAsia="zh-CN"/>
              </w:rPr>
            </w:pPr>
          </w:p>
          <w:p w14:paraId="5A123A9B">
            <w:pPr>
              <w:tabs>
                <w:tab w:val="left" w:pos="1341"/>
              </w:tabs>
              <w:jc w:val="righ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235D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5CEA15A4">
            <w:pPr>
              <w:tabs>
                <w:tab w:val="left" w:pos="1341"/>
              </w:tabs>
              <w:jc w:val="both"/>
              <w:rPr>
                <w:rFonts w:hint="eastAsia" w:ascii="仿宋_GB2312" w:hAnsi="仿宋" w:eastAsia="仿宋_GB2312" w:cs="仿宋"/>
                <w:b w:val="0"/>
                <w:bCs/>
                <w:i/>
                <w:iCs/>
                <w:sz w:val="21"/>
                <w:szCs w:val="21"/>
                <w:lang w:val="en-US" w:eastAsia="zh-CN"/>
              </w:rPr>
            </w:pPr>
            <w:r>
              <w:rPr>
                <w:rFonts w:hint="eastAsia" w:ascii="仿宋_GB2312" w:hAnsi="仿宋" w:eastAsia="仿宋_GB2312"/>
                <w:b/>
                <w:bCs/>
                <w:sz w:val="24"/>
                <w:szCs w:val="24"/>
                <w:lang w:val="en-US" w:eastAsia="zh-CN"/>
              </w:rPr>
              <w:t>财务处意见：</w:t>
            </w:r>
            <w:r>
              <w:rPr>
                <w:rFonts w:hint="eastAsia" w:ascii="仿宋_GB2312" w:hAnsi="仿宋" w:eastAsia="仿宋_GB2312" w:cs="仿宋"/>
                <w:b w:val="0"/>
                <w:bCs/>
                <w:i/>
                <w:iCs/>
                <w:sz w:val="21"/>
                <w:szCs w:val="21"/>
                <w:lang w:val="en-US" w:eastAsia="zh-CN"/>
              </w:rPr>
              <w:t xml:space="preserve">是否已落实项目资金 ，价格审核意见 </w:t>
            </w:r>
          </w:p>
          <w:p w14:paraId="456D3D49">
            <w:pPr>
              <w:tabs>
                <w:tab w:val="left" w:pos="1341"/>
              </w:tabs>
              <w:jc w:val="center"/>
              <w:rPr>
                <w:rFonts w:hint="default" w:ascii="仿宋_GB2312" w:hAnsi="仿宋" w:eastAsia="仿宋_GB2312"/>
                <w:b/>
                <w:bCs/>
                <w:sz w:val="24"/>
                <w:szCs w:val="24"/>
                <w:lang w:val="en-US" w:eastAsia="zh-CN"/>
              </w:rPr>
            </w:pPr>
          </w:p>
          <w:p w14:paraId="6574CA56">
            <w:pPr>
              <w:tabs>
                <w:tab w:val="left" w:pos="1341"/>
              </w:tabs>
              <w:jc w:val="center"/>
              <w:rPr>
                <w:rFonts w:hint="default" w:ascii="仿宋_GB2312" w:hAnsi="仿宋" w:eastAsia="仿宋_GB2312"/>
                <w:b/>
                <w:bCs/>
                <w:sz w:val="24"/>
                <w:szCs w:val="24"/>
                <w:lang w:val="en-US" w:eastAsia="zh-CN"/>
              </w:rPr>
            </w:pPr>
          </w:p>
          <w:p w14:paraId="38D22F63">
            <w:pPr>
              <w:tabs>
                <w:tab w:val="left" w:pos="1341"/>
              </w:tabs>
              <w:jc w:val="righ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2701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6CB6EA9C">
            <w:pPr>
              <w:tabs>
                <w:tab w:val="left" w:pos="1341"/>
              </w:tabs>
              <w:jc w:val="left"/>
              <w:rPr>
                <w:rFonts w:hint="eastAsia" w:ascii="仿宋_GB2312" w:hAnsi="仿宋" w:eastAsia="仿宋_GB2312" w:cs="仿宋"/>
                <w:b w:val="0"/>
                <w:bCs/>
                <w:i/>
                <w:iCs/>
                <w:sz w:val="21"/>
                <w:szCs w:val="21"/>
              </w:rPr>
            </w:pPr>
            <w:r>
              <w:rPr>
                <w:rFonts w:hint="eastAsia" w:ascii="仿宋_GB2312" w:hAnsi="仿宋" w:eastAsia="仿宋_GB2312" w:cs="仿宋"/>
                <w:b/>
                <w:bCs/>
                <w:sz w:val="24"/>
                <w:szCs w:val="24"/>
              </w:rPr>
              <w:t>相关职能部门</w:t>
            </w:r>
            <w:r>
              <w:rPr>
                <w:rFonts w:hint="eastAsia" w:ascii="仿宋_GB2312" w:hAnsi="仿宋" w:eastAsia="仿宋_GB2312" w:cs="仿宋"/>
                <w:b/>
                <w:bCs/>
                <w:sz w:val="24"/>
                <w:szCs w:val="24"/>
                <w:lang w:val="en-US" w:eastAsia="zh-CN"/>
              </w:rPr>
              <w:t>意见：</w:t>
            </w:r>
            <w:r>
              <w:rPr>
                <w:rFonts w:hint="eastAsia" w:ascii="仿宋_GB2312" w:hAnsi="仿宋" w:eastAsia="仿宋_GB2312" w:cs="仿宋"/>
                <w:b w:val="0"/>
                <w:bCs/>
                <w:i/>
                <w:iCs/>
                <w:sz w:val="21"/>
                <w:szCs w:val="21"/>
              </w:rPr>
              <w:t>工程</w:t>
            </w:r>
            <w:r>
              <w:rPr>
                <w:rFonts w:hint="eastAsia" w:ascii="仿宋_GB2312" w:hAnsi="仿宋" w:eastAsia="仿宋_GB2312" w:cs="仿宋"/>
                <w:b w:val="0"/>
                <w:bCs/>
                <w:i/>
                <w:iCs/>
                <w:sz w:val="21"/>
                <w:szCs w:val="21"/>
                <w:lang w:val="en-US" w:eastAsia="zh-CN"/>
              </w:rPr>
              <w:t>建设</w:t>
            </w:r>
            <w:r>
              <w:rPr>
                <w:rFonts w:hint="eastAsia" w:ascii="仿宋_GB2312" w:hAnsi="仿宋" w:eastAsia="仿宋_GB2312" w:cs="仿宋"/>
                <w:b w:val="0"/>
                <w:bCs/>
                <w:i/>
                <w:iCs/>
                <w:sz w:val="21"/>
                <w:szCs w:val="21"/>
              </w:rPr>
              <w:t>原则上不得改变建筑外观、结构布局、使用功能、消防疏散通道、水控安防设施及水电管网线路等。</w:t>
            </w:r>
            <w:r>
              <w:rPr>
                <w:rFonts w:hint="eastAsia" w:ascii="仿宋_GB2312" w:hAnsi="仿宋" w:eastAsia="仿宋_GB2312" w:cs="仿宋"/>
                <w:b w:val="0"/>
                <w:bCs/>
                <w:i/>
                <w:iCs/>
                <w:sz w:val="21"/>
                <w:szCs w:val="21"/>
                <w:lang w:eastAsia="zh-CN"/>
              </w:rPr>
              <w:t>若有涉及到的需</w:t>
            </w:r>
            <w:r>
              <w:rPr>
                <w:rFonts w:hint="eastAsia" w:ascii="仿宋_GB2312" w:hAnsi="仿宋" w:eastAsia="仿宋_GB2312" w:cs="仿宋"/>
                <w:b w:val="0"/>
                <w:bCs/>
                <w:i/>
                <w:iCs/>
                <w:sz w:val="21"/>
                <w:szCs w:val="21"/>
              </w:rPr>
              <w:t>经</w:t>
            </w:r>
            <w:r>
              <w:rPr>
                <w:rFonts w:hint="eastAsia" w:ascii="仿宋_GB2312" w:hAnsi="仿宋" w:eastAsia="仿宋_GB2312" w:cs="仿宋"/>
                <w:b w:val="0"/>
                <w:bCs/>
                <w:i/>
                <w:iCs/>
                <w:sz w:val="21"/>
                <w:szCs w:val="21"/>
                <w:lang w:eastAsia="zh-CN"/>
              </w:rPr>
              <w:t>相对应的部门做审核，</w:t>
            </w:r>
            <w:r>
              <w:rPr>
                <w:rFonts w:hint="eastAsia" w:ascii="仿宋_GB2312" w:hAnsi="仿宋" w:eastAsia="仿宋_GB2312" w:cs="仿宋"/>
                <w:b/>
                <w:bCs w:val="0"/>
                <w:i/>
                <w:iCs/>
                <w:szCs w:val="21"/>
                <w:lang w:val="en-US" w:eastAsia="zh-CN"/>
              </w:rPr>
              <w:t>不涉及的无需审核</w:t>
            </w:r>
            <w:r>
              <w:rPr>
                <w:rFonts w:hint="eastAsia" w:ascii="仿宋_GB2312" w:hAnsi="仿宋" w:eastAsia="仿宋_GB2312" w:cs="仿宋"/>
                <w:b w:val="0"/>
                <w:bCs/>
                <w:i/>
                <w:iCs/>
                <w:sz w:val="21"/>
                <w:szCs w:val="21"/>
                <w:lang w:eastAsia="zh-CN"/>
              </w:rPr>
              <w:t>（国有资产管理处</w:t>
            </w:r>
            <w:r>
              <w:rPr>
                <w:rFonts w:hint="eastAsia" w:ascii="仿宋_GB2312" w:hAnsi="仿宋" w:eastAsia="仿宋_GB2312" w:cs="仿宋"/>
                <w:b w:val="0"/>
                <w:bCs/>
                <w:i/>
                <w:iCs/>
                <w:sz w:val="21"/>
                <w:szCs w:val="21"/>
              </w:rPr>
              <w:t>、</w:t>
            </w:r>
            <w:r>
              <w:rPr>
                <w:rFonts w:hint="eastAsia" w:ascii="仿宋_GB2312" w:hAnsi="仿宋" w:eastAsia="仿宋_GB2312" w:cs="仿宋"/>
                <w:b w:val="0"/>
                <w:bCs/>
                <w:i/>
                <w:iCs/>
                <w:sz w:val="21"/>
                <w:szCs w:val="21"/>
                <w:lang w:eastAsia="zh-CN"/>
              </w:rPr>
              <w:t>后勤处、基建处、</w:t>
            </w:r>
            <w:r>
              <w:rPr>
                <w:rFonts w:hint="eastAsia" w:ascii="仿宋_GB2312" w:hAnsi="仿宋" w:eastAsia="仿宋_GB2312" w:cs="仿宋"/>
                <w:b w:val="0"/>
                <w:bCs/>
                <w:i/>
                <w:iCs/>
                <w:sz w:val="21"/>
                <w:szCs w:val="21"/>
              </w:rPr>
              <w:t>保卫</w:t>
            </w:r>
            <w:r>
              <w:rPr>
                <w:rFonts w:hint="eastAsia" w:ascii="仿宋_GB2312" w:hAnsi="仿宋" w:eastAsia="仿宋_GB2312" w:cs="仿宋"/>
                <w:b w:val="0"/>
                <w:bCs/>
                <w:i/>
                <w:iCs/>
                <w:sz w:val="21"/>
                <w:szCs w:val="21"/>
                <w:lang w:eastAsia="zh-CN"/>
              </w:rPr>
              <w:t>处、</w:t>
            </w:r>
            <w:r>
              <w:rPr>
                <w:rFonts w:hint="eastAsia" w:ascii="仿宋_GB2312" w:hAnsi="仿宋" w:eastAsia="仿宋_GB2312" w:cs="仿宋"/>
                <w:b w:val="0"/>
                <w:bCs/>
                <w:i/>
                <w:iCs/>
                <w:sz w:val="21"/>
                <w:szCs w:val="21"/>
                <w:lang w:val="en-US" w:eastAsia="zh-CN"/>
              </w:rPr>
              <w:t>网络中心</w:t>
            </w:r>
            <w:r>
              <w:rPr>
                <w:rFonts w:hint="eastAsia" w:ascii="仿宋_GB2312" w:hAnsi="仿宋" w:eastAsia="仿宋_GB2312" w:cs="仿宋"/>
                <w:b w:val="0"/>
                <w:bCs/>
                <w:i/>
                <w:iCs/>
                <w:sz w:val="21"/>
                <w:szCs w:val="21"/>
              </w:rPr>
              <w:t>等相关部门审核</w:t>
            </w:r>
            <w:r>
              <w:rPr>
                <w:rFonts w:hint="eastAsia" w:ascii="仿宋_GB2312" w:hAnsi="仿宋" w:eastAsia="仿宋_GB2312" w:cs="仿宋"/>
                <w:b w:val="0"/>
                <w:bCs/>
                <w:i/>
                <w:iCs/>
                <w:sz w:val="21"/>
                <w:szCs w:val="21"/>
                <w:lang w:eastAsia="zh-CN"/>
              </w:rPr>
              <w:t>）</w:t>
            </w:r>
          </w:p>
          <w:p w14:paraId="5CDB8BD8">
            <w:pPr>
              <w:tabs>
                <w:tab w:val="left" w:pos="1341"/>
              </w:tabs>
              <w:jc w:val="left"/>
              <w:rPr>
                <w:rFonts w:hint="eastAsia" w:ascii="仿宋_GB2312" w:hAnsi="仿宋" w:eastAsia="仿宋_GB2312" w:cs="仿宋"/>
                <w:b w:val="0"/>
                <w:bCs/>
                <w:i/>
                <w:iCs/>
                <w:sz w:val="21"/>
                <w:szCs w:val="21"/>
                <w:lang w:val="en-US" w:eastAsia="zh-CN"/>
              </w:rPr>
            </w:pPr>
          </w:p>
          <w:p w14:paraId="3B39A055">
            <w:pPr>
              <w:tabs>
                <w:tab w:val="left" w:pos="1341"/>
              </w:tabs>
              <w:jc w:val="left"/>
              <w:rPr>
                <w:rFonts w:hint="eastAsia" w:ascii="仿宋_GB2312" w:hAnsi="仿宋" w:eastAsia="仿宋_GB2312" w:cs="仿宋"/>
                <w:b w:val="0"/>
                <w:bCs/>
                <w:i/>
                <w:iCs/>
                <w:sz w:val="21"/>
                <w:szCs w:val="21"/>
                <w:lang w:val="en-US" w:eastAsia="zh-CN"/>
              </w:rPr>
            </w:pPr>
          </w:p>
          <w:p w14:paraId="01962D38">
            <w:pPr>
              <w:tabs>
                <w:tab w:val="left" w:pos="1341"/>
              </w:tabs>
              <w:jc w:val="right"/>
              <w:rPr>
                <w:rFonts w:hint="eastAsia"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5DDE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6F5AC445">
            <w:pPr>
              <w:tabs>
                <w:tab w:val="left" w:pos="1341"/>
              </w:tabs>
              <w:jc w:val="left"/>
              <w:rPr>
                <w:rFonts w:hint="default" w:ascii="仿宋_GB2312" w:hAnsi="仿宋" w:eastAsia="仿宋_GB2312" w:cs="仿宋"/>
                <w:b/>
                <w:bCs/>
                <w:sz w:val="21"/>
                <w:szCs w:val="21"/>
                <w:lang w:val="en-US" w:eastAsia="zh-CN"/>
              </w:rPr>
            </w:pPr>
            <w:r>
              <w:rPr>
                <w:rFonts w:hint="eastAsia" w:ascii="仿宋_GB2312" w:hAnsi="仿宋" w:eastAsia="仿宋_GB2312" w:cs="仿宋"/>
                <w:b/>
                <w:bCs/>
                <w:sz w:val="24"/>
                <w:szCs w:val="24"/>
                <w:lang w:val="en-US" w:eastAsia="zh-CN"/>
              </w:rPr>
              <w:t>归口管理单位意见：</w:t>
            </w:r>
            <w:r>
              <w:rPr>
                <w:rFonts w:hint="eastAsia" w:ascii="仿宋_GB2312" w:hAnsi="仿宋" w:eastAsia="仿宋_GB2312" w:cs="仿宋"/>
                <w:b w:val="0"/>
                <w:bCs/>
                <w:i/>
                <w:iCs/>
                <w:sz w:val="21"/>
                <w:szCs w:val="21"/>
                <w:lang w:val="en-US" w:eastAsia="zh-CN"/>
              </w:rPr>
              <w:t>（后勤处/基建处/教务处等）</w:t>
            </w:r>
          </w:p>
          <w:p w14:paraId="7F37A9E6">
            <w:pPr>
              <w:tabs>
                <w:tab w:val="left" w:pos="1341"/>
              </w:tabs>
              <w:jc w:val="left"/>
              <w:rPr>
                <w:rFonts w:hint="eastAsia" w:ascii="仿宋_GB2312" w:hAnsi="仿宋" w:eastAsia="仿宋_GB2312" w:cs="仿宋"/>
                <w:b/>
                <w:bCs/>
                <w:sz w:val="24"/>
                <w:szCs w:val="24"/>
                <w:lang w:val="en-US" w:eastAsia="zh-CN"/>
              </w:rPr>
            </w:pPr>
          </w:p>
          <w:p w14:paraId="7E32BF6E">
            <w:pPr>
              <w:tabs>
                <w:tab w:val="left" w:pos="1341"/>
              </w:tabs>
              <w:jc w:val="center"/>
              <w:rPr>
                <w:rFonts w:hint="eastAsia" w:ascii="仿宋_GB2312" w:hAnsi="仿宋" w:eastAsia="仿宋_GB2312"/>
                <w:b/>
                <w:bCs/>
                <w:sz w:val="24"/>
                <w:szCs w:val="24"/>
                <w:lang w:val="en-US" w:eastAsia="zh-CN"/>
              </w:rPr>
            </w:pPr>
          </w:p>
          <w:p w14:paraId="5E48BACB">
            <w:pPr>
              <w:tabs>
                <w:tab w:val="left" w:pos="1341"/>
              </w:tabs>
              <w:jc w:val="right"/>
              <w:rPr>
                <w:rFonts w:hint="eastAsia" w:ascii="仿宋_GB2312" w:hAnsi="仿宋" w:eastAsia="仿宋_GB2312" w:cs="仿宋"/>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6343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9540" w:type="dxa"/>
            <w:gridSpan w:val="4"/>
            <w:vAlign w:val="center"/>
          </w:tcPr>
          <w:p w14:paraId="62811D69">
            <w:pPr>
              <w:tabs>
                <w:tab w:val="left" w:pos="1341"/>
              </w:tabs>
              <w:jc w:val="lef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备注：</w:t>
            </w:r>
          </w:p>
          <w:p w14:paraId="61FC96B5">
            <w:pPr>
              <w:tabs>
                <w:tab w:val="left" w:pos="1341"/>
              </w:tabs>
              <w:jc w:val="left"/>
              <w:rPr>
                <w:rFonts w:hint="eastAsia" w:ascii="仿宋_GB2312" w:hAnsi="仿宋" w:eastAsia="仿宋_GB2312"/>
                <w:sz w:val="24"/>
                <w:szCs w:val="24"/>
                <w:lang w:val="en-US" w:eastAsia="zh-CN"/>
              </w:rPr>
            </w:pPr>
          </w:p>
          <w:p w14:paraId="28364A48">
            <w:pPr>
              <w:tabs>
                <w:tab w:val="left" w:pos="1341"/>
              </w:tabs>
              <w:jc w:val="left"/>
              <w:rPr>
                <w:rFonts w:hint="eastAsia" w:ascii="仿宋_GB2312" w:hAnsi="仿宋" w:eastAsia="仿宋_GB2312"/>
                <w:sz w:val="24"/>
                <w:szCs w:val="24"/>
                <w:lang w:val="en-US" w:eastAsia="zh-CN"/>
              </w:rPr>
            </w:pPr>
          </w:p>
          <w:p w14:paraId="3B5A996D">
            <w:pPr>
              <w:tabs>
                <w:tab w:val="left" w:pos="1341"/>
              </w:tabs>
              <w:ind w:firstLine="4800" w:firstLineChars="2000"/>
              <w:jc w:val="left"/>
              <w:rPr>
                <w:rFonts w:hint="default" w:ascii="仿宋_GB2312" w:hAnsi="仿宋" w:eastAsia="仿宋_GB2312"/>
                <w:sz w:val="24"/>
                <w:szCs w:val="24"/>
                <w:lang w:val="en-US" w:eastAsia="zh-CN"/>
              </w:rPr>
            </w:pPr>
          </w:p>
        </w:tc>
      </w:tr>
    </w:tbl>
    <w:p w14:paraId="0127388F">
      <w:pPr>
        <w:keepNext w:val="0"/>
        <w:keepLines w:val="0"/>
        <w:pageBreakBefore w:val="0"/>
        <w:widowControl w:val="0"/>
        <w:tabs>
          <w:tab w:val="left" w:pos="1341"/>
        </w:tabs>
        <w:kinsoku/>
        <w:wordWrap/>
        <w:overflowPunct/>
        <w:topLinePunct w:val="0"/>
        <w:autoSpaceDE/>
        <w:autoSpaceDN/>
        <w:bidi w:val="0"/>
        <w:adjustRightInd/>
        <w:snapToGrid/>
        <w:spacing w:line="300" w:lineRule="exact"/>
        <w:textAlignment w:val="auto"/>
        <w:rPr>
          <w:rFonts w:hint="eastAsia" w:ascii="方正小标宋_GBK" w:hAnsi="宋体" w:eastAsia="方正小标宋_GBK"/>
          <w:bCs/>
          <w:sz w:val="32"/>
          <w:szCs w:val="32"/>
          <w:lang w:val="en-US" w:eastAsia="zh-CN"/>
        </w:rPr>
      </w:pPr>
      <w:r>
        <w:rPr>
          <w:rFonts w:hint="eastAsia" w:ascii="仿宋_GB2312" w:hAnsi="仿宋" w:eastAsia="仿宋_GB2312" w:cs="仿宋"/>
          <w:b w:val="0"/>
          <w:bCs/>
          <w:sz w:val="24"/>
          <w:szCs w:val="24"/>
        </w:rPr>
        <w:t>★</w:t>
      </w:r>
      <w:r>
        <w:rPr>
          <w:rFonts w:hint="eastAsia" w:ascii="仿宋_GB2312" w:hAnsi="仿宋" w:eastAsia="仿宋_GB2312" w:cs="仿宋"/>
          <w:b w:val="0"/>
          <w:bCs/>
          <w:sz w:val="24"/>
          <w:szCs w:val="24"/>
          <w:lang w:val="en-US" w:eastAsia="zh-CN"/>
        </w:rPr>
        <w:t>100万以上工程类（修缮、基建）项目，需报省教育厅做项目预算评审批复。</w:t>
      </w:r>
      <w:bookmarkStart w:id="0" w:name="_Toc25973"/>
      <w:bookmarkStart w:id="1" w:name="_Toc247527534"/>
      <w:bookmarkStart w:id="2" w:name="_Toc247513933"/>
      <w:bookmarkStart w:id="3" w:name="_Toc21660"/>
      <w:bookmarkStart w:id="30" w:name="_GoBack"/>
      <w:bookmarkEnd w:id="30"/>
    </w:p>
    <w:p w14:paraId="7999C984">
      <w:pPr>
        <w:pStyle w:val="2"/>
        <w:rPr>
          <w:rFonts w:hint="eastAsia"/>
          <w:lang w:val="en-US" w:eastAsia="zh-CN"/>
        </w:rPr>
      </w:pPr>
    </w:p>
    <w:p w14:paraId="6550B242">
      <w:pPr>
        <w:snapToGrid w:val="0"/>
        <w:spacing w:line="600" w:lineRule="exact"/>
        <w:jc w:val="center"/>
        <w:rPr>
          <w:rFonts w:hint="default" w:ascii="方正小标宋_GBK" w:hAnsi="宋体" w:eastAsia="方正小标宋_GBK"/>
          <w:bCs/>
          <w:sz w:val="44"/>
          <w:szCs w:val="44"/>
          <w:lang w:val="en-US" w:eastAsia="zh-CN"/>
        </w:rPr>
      </w:pPr>
      <w:r>
        <w:rPr>
          <w:rFonts w:hint="eastAsia" w:ascii="方正小标宋_GBK" w:hAnsi="宋体" w:eastAsia="方正小标宋_GBK"/>
          <w:bCs/>
          <w:sz w:val="44"/>
          <w:szCs w:val="44"/>
        </w:rPr>
        <w:t>海南师范大学桂林洋校区基础设施配套项目代管单位</w:t>
      </w:r>
      <w:bookmarkEnd w:id="0"/>
      <w:bookmarkEnd w:id="1"/>
      <w:bookmarkEnd w:id="2"/>
      <w:bookmarkEnd w:id="3"/>
      <w:bookmarkStart w:id="4" w:name="_Toc18666"/>
      <w:bookmarkStart w:id="5" w:name="_Toc247513934"/>
      <w:bookmarkStart w:id="6" w:name="_Toc21314"/>
      <w:bookmarkStart w:id="7" w:name="_Toc152045512"/>
      <w:bookmarkStart w:id="8" w:name="_Toc152042288"/>
      <w:bookmarkStart w:id="9" w:name="_Toc144974480"/>
      <w:bookmarkStart w:id="10" w:name="_Toc247527535"/>
      <w:r>
        <w:rPr>
          <w:rFonts w:hint="eastAsia" w:ascii="方正小标宋_GBK" w:hAnsi="宋体" w:eastAsia="方正小标宋_GBK"/>
          <w:bCs/>
          <w:sz w:val="44"/>
          <w:szCs w:val="44"/>
          <w:lang w:val="en-US" w:eastAsia="zh-CN"/>
        </w:rPr>
        <w:t>采购需求</w:t>
      </w:r>
    </w:p>
    <w:bookmarkEnd w:id="4"/>
    <w:bookmarkEnd w:id="5"/>
    <w:bookmarkEnd w:id="6"/>
    <w:bookmarkEnd w:id="7"/>
    <w:bookmarkEnd w:id="8"/>
    <w:bookmarkEnd w:id="9"/>
    <w:bookmarkEnd w:id="10"/>
    <w:p w14:paraId="20EA5D6D">
      <w:pPr>
        <w:keepNext w:val="0"/>
        <w:keepLines w:val="0"/>
        <w:pageBreakBefore w:val="0"/>
        <w:widowControl w:val="0"/>
        <w:kinsoku/>
        <w:wordWrap/>
        <w:overflowPunct/>
        <w:topLinePunct w:val="0"/>
        <w:autoSpaceDE/>
        <w:autoSpaceDN/>
        <w:bidi w:val="0"/>
        <w:adjustRightInd/>
        <w:spacing w:before="312" w:beforeLines="100" w:line="560" w:lineRule="exact"/>
        <w:ind w:firstLine="627" w:firstLineChars="200"/>
        <w:textAlignment w:val="auto"/>
        <w:rPr>
          <w:rFonts w:hint="eastAsia" w:ascii="方正仿宋_GB2312" w:hAnsi="方正仿宋_GB2312" w:eastAsia="方正仿宋_GB2312" w:cs="方正仿宋_GB2312"/>
          <w:b/>
          <w:bCs/>
          <w:spacing w:val="-4"/>
          <w:kern w:val="0"/>
          <w:sz w:val="32"/>
          <w:szCs w:val="32"/>
          <w:lang w:eastAsia="zh-CN"/>
        </w:rPr>
      </w:pPr>
      <w:bookmarkStart w:id="11" w:name="_Toc247513936"/>
      <w:bookmarkStart w:id="12" w:name="_Toc12456"/>
      <w:bookmarkStart w:id="13" w:name="_Toc152042290"/>
      <w:bookmarkStart w:id="14" w:name="_Toc24874"/>
      <w:bookmarkStart w:id="15" w:name="_Toc247527537"/>
      <w:bookmarkStart w:id="16" w:name="_Toc144974482"/>
      <w:bookmarkStart w:id="17" w:name="_Toc152045514"/>
      <w:bookmarkStart w:id="18" w:name="_Toc152042289"/>
      <w:bookmarkStart w:id="19" w:name="_Toc247513935"/>
      <w:bookmarkStart w:id="20" w:name="_Toc247527536"/>
      <w:bookmarkStart w:id="21" w:name="_Toc144974481"/>
      <w:bookmarkStart w:id="22" w:name="_Toc29407"/>
      <w:bookmarkStart w:id="23" w:name="_Toc22543"/>
      <w:bookmarkStart w:id="24" w:name="_Toc152045513"/>
      <w:r>
        <w:rPr>
          <w:rFonts w:hint="eastAsia" w:ascii="方正仿宋_GB2312" w:hAnsi="方正仿宋_GB2312" w:eastAsia="方正仿宋_GB2312" w:cs="方正仿宋_GB2312"/>
          <w:b/>
          <w:bCs/>
          <w:spacing w:val="-4"/>
          <w:kern w:val="0"/>
          <w:sz w:val="32"/>
          <w:szCs w:val="32"/>
        </w:rPr>
        <w:t>1.参选人资格要求</w:t>
      </w:r>
      <w:bookmarkEnd w:id="11"/>
      <w:bookmarkEnd w:id="12"/>
      <w:bookmarkEnd w:id="13"/>
      <w:bookmarkEnd w:id="14"/>
      <w:bookmarkEnd w:id="15"/>
      <w:bookmarkEnd w:id="16"/>
      <w:bookmarkEnd w:id="17"/>
      <w:r>
        <w:rPr>
          <w:rFonts w:hint="eastAsia" w:ascii="方正仿宋_GB2312" w:hAnsi="方正仿宋_GB2312" w:eastAsia="方正仿宋_GB2312" w:cs="方正仿宋_GB2312"/>
          <w:b/>
          <w:bCs/>
          <w:spacing w:val="-4"/>
          <w:kern w:val="0"/>
          <w:sz w:val="32"/>
          <w:szCs w:val="32"/>
          <w:lang w:eastAsia="zh-CN"/>
        </w:rPr>
        <w:t>：</w:t>
      </w:r>
    </w:p>
    <w:p w14:paraId="218549E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1.1资质条件：本次比选要求参选人须具备：</w:t>
      </w:r>
    </w:p>
    <w:p w14:paraId="267726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（1）符合海南省国有资产监督管理委员会文件（琼国资改〔2021〕147号）的要求； </w:t>
      </w:r>
    </w:p>
    <w:p w14:paraId="6A1E874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（2）具有独立法人资格</w:t>
      </w:r>
      <w:bookmarkStart w:id="25" w:name="_Toc247527538"/>
      <w:bookmarkStart w:id="26" w:name="_Toc152042291"/>
      <w:bookmarkStart w:id="27" w:name="_Toc152045515"/>
      <w:bookmarkStart w:id="28" w:name="_Toc144974483"/>
      <w:bookmarkStart w:id="29" w:name="_Toc247513937"/>
      <w:r>
        <w:rPr>
          <w:rFonts w:hint="eastAsia" w:ascii="方正仿宋_GB2312" w:hAnsi="方正仿宋_GB2312" w:eastAsia="方正仿宋_GB2312" w:cs="方正仿宋_GB2312"/>
          <w:sz w:val="32"/>
          <w:szCs w:val="32"/>
          <w:highlight w:val="none"/>
        </w:rPr>
        <w:t>。有满足政府投资社会领域基本建设项目建设需要的组织机构和质量、安全、环境保护等方面的管理制度（提供承诺函加盖公章，并提供营业执照等复印件）；</w:t>
      </w:r>
    </w:p>
    <w:p w14:paraId="078606E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（3）人员要求。拥有专业齐全、结构合理的专业技术人才队伍（提供承诺函加盖公章）；</w:t>
      </w:r>
    </w:p>
    <w:p w14:paraId="3563C0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（4）财务要求。财务状况、资信能力、资金实力和抗风险能力等与代管的项目需要相适应（提供承诺函加盖公章）；</w:t>
      </w:r>
    </w:p>
    <w:p w14:paraId="6A3382A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（5）税收及社保要求。有依法缴纳税收及社保的良好记录（提供承诺函加盖公章）；</w:t>
      </w:r>
    </w:p>
    <w:p w14:paraId="3FAD153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6）管理要求。代管单位需要在项目报建报批、工程设计、项目招投标、施工管理、竣工验收等项目建设阶段配备项目管理人员和技术人员，管理人员和技术人员应当满足项目建设管理工作需要（提供承诺函加盖公章）。</w:t>
      </w:r>
    </w:p>
    <w:p w14:paraId="787536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1.2本次比选不接受联合体投标。</w:t>
      </w:r>
    </w:p>
    <w:p w14:paraId="1530ED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1.3与比选人存在利害关系可能影响比选公正性的单位，不得参加比选。单位负责人为同一人或存在控股、管理关系的不同单位，不得参加同一标段比选，否则，相关比选均无效。</w:t>
      </w:r>
    </w:p>
    <w:p w14:paraId="6343128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val="en-US" w:eastAsia="zh-CN"/>
        </w:rPr>
        <w:t>1.4</w:t>
      </w:r>
      <w:r>
        <w:rPr>
          <w:rFonts w:hint="eastAsia" w:ascii="方正仿宋_GB2312" w:hAnsi="方正仿宋_GB2312" w:eastAsia="方正仿宋_GB2312" w:cs="方正仿宋_GB2312"/>
          <w:sz w:val="32"/>
          <w:szCs w:val="32"/>
          <w:highlight w:val="none"/>
        </w:rPr>
        <w:t>参选人在信用中国网(www.creditchina.gov.cn) 未被列入失信被执行人、重大税收违法失信主体，在中国政府采购网（www.ccgp.gov.cn）未被列入政府采购严重违法失信行为记录名单。</w:t>
      </w:r>
    </w:p>
    <w:p w14:paraId="4441180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yellow"/>
        </w:rPr>
      </w:pPr>
      <w:r>
        <w:rPr>
          <w:rFonts w:hint="eastAsia" w:ascii="方正仿宋_GB2312" w:hAnsi="方正仿宋_GB2312" w:eastAsia="方正仿宋_GB2312" w:cs="方正仿宋_GB2312"/>
          <w:sz w:val="32"/>
          <w:szCs w:val="32"/>
          <w:highlight w:val="none"/>
        </w:rPr>
        <w:t>1.</w:t>
      </w:r>
      <w:r>
        <w:rPr>
          <w:rFonts w:hint="eastAsia" w:ascii="方正仿宋_GB2312" w:hAnsi="方正仿宋_GB2312" w:eastAsia="方正仿宋_GB2312" w:cs="方正仿宋_GB2312"/>
          <w:sz w:val="32"/>
          <w:szCs w:val="32"/>
          <w:highlight w:val="none"/>
          <w:lang w:val="en-US" w:eastAsia="zh-CN"/>
        </w:rPr>
        <w:t>5</w:t>
      </w:r>
      <w:r>
        <w:rPr>
          <w:rFonts w:hint="eastAsia" w:ascii="方正仿宋_GB2312" w:hAnsi="方正仿宋_GB2312" w:eastAsia="方正仿宋_GB2312" w:cs="方正仿宋_GB2312"/>
          <w:sz w:val="32"/>
          <w:szCs w:val="32"/>
          <w:highlight w:val="none"/>
        </w:rPr>
        <w:t>信誉要求：参选人无住房和城乡建设部、海南省住房和城乡建设厅认定的限制期内不得参加招标投标行为。</w:t>
      </w:r>
    </w:p>
    <w:bookmarkEnd w:id="25"/>
    <w:bookmarkEnd w:id="26"/>
    <w:bookmarkEnd w:id="27"/>
    <w:bookmarkEnd w:id="28"/>
    <w:bookmarkEnd w:id="29"/>
    <w:p w14:paraId="24B96EF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p>
    <w:p w14:paraId="53DC3BEA">
      <w:pPr>
        <w:keepNext w:val="0"/>
        <w:keepLines w:val="0"/>
        <w:pageBreakBefore w:val="0"/>
        <w:widowControl w:val="0"/>
        <w:kinsoku/>
        <w:wordWrap/>
        <w:overflowPunct/>
        <w:topLinePunct w:val="0"/>
        <w:autoSpaceDE/>
        <w:autoSpaceDN/>
        <w:bidi w:val="0"/>
        <w:adjustRightInd/>
        <w:spacing w:line="560" w:lineRule="exact"/>
        <w:ind w:firstLine="627" w:firstLineChars="200"/>
        <w:textAlignment w:val="auto"/>
        <w:rPr>
          <w:rFonts w:hint="eastAsia" w:ascii="方正仿宋_GB2312" w:hAnsi="方正仿宋_GB2312" w:eastAsia="方正仿宋_GB2312" w:cs="方正仿宋_GB2312"/>
          <w:b/>
          <w:bCs/>
          <w:spacing w:val="-4"/>
          <w:kern w:val="0"/>
          <w:sz w:val="32"/>
          <w:szCs w:val="32"/>
          <w:lang w:val="en-US" w:eastAsia="zh-CN"/>
        </w:rPr>
      </w:pPr>
      <w:r>
        <w:rPr>
          <w:rFonts w:hint="eastAsia" w:ascii="方正仿宋_GB2312" w:hAnsi="方正仿宋_GB2312" w:eastAsia="方正仿宋_GB2312" w:cs="方正仿宋_GB2312"/>
          <w:b/>
          <w:bCs/>
          <w:spacing w:val="-4"/>
          <w:kern w:val="0"/>
          <w:sz w:val="32"/>
          <w:szCs w:val="32"/>
        </w:rPr>
        <w:t>2.</w:t>
      </w:r>
      <w:bookmarkEnd w:id="18"/>
      <w:bookmarkEnd w:id="19"/>
      <w:bookmarkEnd w:id="20"/>
      <w:bookmarkEnd w:id="21"/>
      <w:bookmarkEnd w:id="22"/>
      <w:bookmarkEnd w:id="23"/>
      <w:bookmarkEnd w:id="24"/>
      <w:r>
        <w:rPr>
          <w:rFonts w:hint="eastAsia" w:ascii="方正仿宋_GB2312" w:hAnsi="方正仿宋_GB2312" w:eastAsia="方正仿宋_GB2312" w:cs="方正仿宋_GB2312"/>
          <w:b/>
          <w:bCs/>
          <w:spacing w:val="-4"/>
          <w:kern w:val="0"/>
          <w:sz w:val="32"/>
          <w:szCs w:val="32"/>
          <w:lang w:val="en-US" w:eastAsia="zh-CN"/>
        </w:rPr>
        <w:t>具体要求：</w:t>
      </w:r>
    </w:p>
    <w:p w14:paraId="02EDC5B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2.1</w:t>
      </w:r>
      <w:r>
        <w:rPr>
          <w:rFonts w:hint="eastAsia" w:ascii="方正仿宋_GB2312" w:hAnsi="方正仿宋_GB2312" w:eastAsia="方正仿宋_GB2312" w:cs="方正仿宋_GB2312"/>
          <w:sz w:val="32"/>
          <w:szCs w:val="32"/>
        </w:rPr>
        <w:t>根据代管合同约定，协调组织开展初步设计及概算的编制和优化工作，及办理项目初步设计及概算审批手续</w:t>
      </w:r>
      <w:r>
        <w:rPr>
          <w:rFonts w:hint="eastAsia" w:ascii="方正仿宋_GB2312" w:hAnsi="方正仿宋_GB2312" w:eastAsia="方正仿宋_GB2312" w:cs="方正仿宋_GB2312"/>
          <w:sz w:val="32"/>
          <w:szCs w:val="32"/>
          <w:lang w:eastAsia="zh-CN"/>
        </w:rPr>
        <w:t>。</w:t>
      </w:r>
    </w:p>
    <w:p w14:paraId="0760BAA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2.2</w:t>
      </w:r>
      <w:r>
        <w:rPr>
          <w:rFonts w:hint="eastAsia" w:ascii="方正仿宋_GB2312" w:hAnsi="方正仿宋_GB2312" w:eastAsia="方正仿宋_GB2312" w:cs="方正仿宋_GB2312"/>
          <w:sz w:val="32"/>
          <w:szCs w:val="32"/>
        </w:rPr>
        <w:t>按照批准的初步设计及概算，负责组织施工图设计和优化、工程量清单、控制价编制及政府报审工作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负责根据项目建设有关规定依法依规选择各项目参建单位，其中工程监理单位、全过程造价咨询单位与项目单位共同选择，并共同与选定的工程监理单位、全过程造价咨询单位签订三方合同,代管单位负责与其他各参建单位签订合同报项目单位备案，并管理和督促各参建单位履行合同;依法办理施工许可等项目审批手续</w:t>
      </w:r>
      <w:r>
        <w:rPr>
          <w:rFonts w:hint="eastAsia" w:ascii="方正仿宋_GB2312" w:hAnsi="方正仿宋_GB2312" w:eastAsia="方正仿宋_GB2312" w:cs="方正仿宋_GB2312"/>
          <w:sz w:val="32"/>
          <w:szCs w:val="32"/>
          <w:lang w:eastAsia="zh-CN"/>
        </w:rPr>
        <w:t>。</w:t>
      </w:r>
    </w:p>
    <w:p w14:paraId="68FEF38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2.3</w:t>
      </w:r>
      <w:r>
        <w:rPr>
          <w:rFonts w:hint="eastAsia" w:ascii="方正仿宋_GB2312" w:hAnsi="方正仿宋_GB2312" w:eastAsia="方正仿宋_GB2312" w:cs="方正仿宋_GB2312"/>
          <w:sz w:val="32"/>
          <w:szCs w:val="32"/>
        </w:rPr>
        <w:t>依法承担法律、法规和合同规定的工程质量、进度、环保、安全和投资等管理责任。配合有关部门依法组织的检查、考核等，负责落实整改</w:t>
      </w:r>
      <w:r>
        <w:rPr>
          <w:rFonts w:hint="eastAsia" w:ascii="方正仿宋_GB2312" w:hAnsi="方正仿宋_GB2312" w:eastAsia="方正仿宋_GB2312" w:cs="方正仿宋_GB2312"/>
          <w:sz w:val="32"/>
          <w:szCs w:val="32"/>
          <w:lang w:eastAsia="zh-CN"/>
        </w:rPr>
        <w:t>。</w:t>
      </w:r>
    </w:p>
    <w:p w14:paraId="5F9D6B3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rPr>
        <w:t>严格执行国家和省有关规定以项目单位名义办理项目相关审批手续并落实相关要求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依据合同协助完成征地拆迁、三电和管线迁改等项目前期工作</w:t>
      </w:r>
      <w:r>
        <w:rPr>
          <w:rFonts w:hint="eastAsia" w:ascii="方正仿宋_GB2312" w:hAnsi="方正仿宋_GB2312" w:eastAsia="方正仿宋_GB2312" w:cs="方正仿宋_GB2312"/>
          <w:sz w:val="32"/>
          <w:szCs w:val="32"/>
          <w:lang w:eastAsia="zh-CN"/>
        </w:rPr>
        <w:t>。</w:t>
      </w:r>
    </w:p>
    <w:p w14:paraId="6E02FB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2.5</w:t>
      </w:r>
      <w:r>
        <w:rPr>
          <w:rFonts w:hint="eastAsia" w:ascii="方正仿宋_GB2312" w:hAnsi="方正仿宋_GB2312" w:eastAsia="方正仿宋_GB2312" w:cs="方正仿宋_GB2312"/>
          <w:sz w:val="32"/>
          <w:szCs w:val="32"/>
        </w:rPr>
        <w:t>拟定项目进度计划、资金使用计划、工程质量和安全保障措施等，并报经项目单位同意</w:t>
      </w:r>
      <w:r>
        <w:rPr>
          <w:rFonts w:hint="eastAsia" w:ascii="方正仿宋_GB2312" w:hAnsi="方正仿宋_GB2312" w:eastAsia="方正仿宋_GB2312" w:cs="方正仿宋_GB2312"/>
          <w:sz w:val="32"/>
          <w:szCs w:val="32"/>
          <w:lang w:eastAsia="zh-CN"/>
        </w:rPr>
        <w:t>。</w:t>
      </w:r>
    </w:p>
    <w:p w14:paraId="4B3122B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2.6</w:t>
      </w:r>
      <w:r>
        <w:rPr>
          <w:rFonts w:hint="eastAsia" w:ascii="方正仿宋_GB2312" w:hAnsi="方正仿宋_GB2312" w:eastAsia="方正仿宋_GB2312" w:cs="方正仿宋_GB2312"/>
          <w:sz w:val="32"/>
          <w:szCs w:val="32"/>
        </w:rPr>
        <w:t>按照相关规定办理向项目单位提出项目建设中出现的重大设计变更及概算调整建议，由项目单位按照相关等审批调整程序履行报批手续</w:t>
      </w:r>
      <w:r>
        <w:rPr>
          <w:rFonts w:hint="eastAsia" w:ascii="方正仿宋_GB2312" w:hAnsi="方正仿宋_GB2312" w:eastAsia="方正仿宋_GB2312" w:cs="方正仿宋_GB2312"/>
          <w:sz w:val="32"/>
          <w:szCs w:val="32"/>
          <w:lang w:eastAsia="zh-CN"/>
        </w:rPr>
        <w:t>。</w:t>
      </w:r>
    </w:p>
    <w:p w14:paraId="1994395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2.7</w:t>
      </w:r>
      <w:r>
        <w:rPr>
          <w:rFonts w:hint="eastAsia" w:ascii="方正仿宋_GB2312" w:hAnsi="方正仿宋_GB2312" w:eastAsia="方正仿宋_GB2312" w:cs="方正仿宋_GB2312"/>
          <w:sz w:val="32"/>
          <w:szCs w:val="32"/>
        </w:rPr>
        <w:t>落实其企业责任。依法依规开展招投标活动，不得设置不合理条件限制或排斥投标人或潜在投标人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对在招标活动中存在违法行为的直接责任人应严肃处理，涉及监察对象的违法行为应向纪委监委移交，涉及招标人与投标人串通损害国家利益的问题应主动向公安机关报案</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加强合同管理，同时配合住建部门落实人员实名制信息化管理，确保施工、监理单位人员按公同约定到岗履职。</w:t>
      </w:r>
    </w:p>
    <w:p w14:paraId="09D66FA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2.8</w:t>
      </w:r>
      <w:r>
        <w:rPr>
          <w:rFonts w:hint="eastAsia" w:ascii="方正仿宋_GB2312" w:hAnsi="方正仿宋_GB2312" w:eastAsia="方正仿宋_GB2312" w:cs="方正仿宋_GB2312"/>
          <w:sz w:val="32"/>
          <w:szCs w:val="32"/>
        </w:rPr>
        <w:t>组织工程验收，负责竣工结算，协助编制项目财务决算，准备竣工验收和向项目单位整体移交等相关工作, 应当在合同约定时间内及时办理竣工备案</w:t>
      </w:r>
      <w:r>
        <w:rPr>
          <w:rFonts w:hint="eastAsia" w:ascii="方正仿宋_GB2312" w:hAnsi="方正仿宋_GB2312" w:eastAsia="方正仿宋_GB2312" w:cs="方正仿宋_GB2312"/>
          <w:sz w:val="32"/>
          <w:szCs w:val="32"/>
          <w:lang w:eastAsia="zh-CN"/>
        </w:rPr>
        <w:t>。</w:t>
      </w:r>
    </w:p>
    <w:p w14:paraId="33005E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2.9</w:t>
      </w:r>
      <w:r>
        <w:rPr>
          <w:rFonts w:hint="eastAsia" w:ascii="方正仿宋_GB2312" w:hAnsi="方正仿宋_GB2312" w:eastAsia="方正仿宋_GB2312" w:cs="方正仿宋_GB2312"/>
          <w:sz w:val="32"/>
          <w:szCs w:val="32"/>
        </w:rPr>
        <w:t>承担项目档案及有关技术资料的收集、整理、归档等工作，组织有关单位编制竣工文件。</w:t>
      </w:r>
    </w:p>
    <w:p w14:paraId="3A4AC22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2.10</w:t>
      </w:r>
      <w:r>
        <w:rPr>
          <w:rFonts w:hint="eastAsia" w:ascii="方正仿宋_GB2312" w:hAnsi="方正仿宋_GB2312" w:eastAsia="方正仿宋_GB2312" w:cs="方正仿宋_GB2312"/>
          <w:sz w:val="32"/>
          <w:szCs w:val="32"/>
        </w:rPr>
        <w:t>负责工程质量问题的处理，依法承担相应职责</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负责项目缺陷责任期及保修期内维修保养的各项管理事务，其中缺陷责任期内的费用由施工单位负责，缺陷责任期外的费用由责任方(使用单位或施工单位)负责</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与建设、施工等参建单位共同承担工程质量终身责任。</w:t>
      </w:r>
    </w:p>
    <w:p w14:paraId="76F2276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2.11</w:t>
      </w:r>
      <w:r>
        <w:rPr>
          <w:rFonts w:hint="eastAsia" w:ascii="方正仿宋_GB2312" w:hAnsi="方正仿宋_GB2312" w:eastAsia="方正仿宋_GB2312" w:cs="方正仿宋_GB2312"/>
          <w:sz w:val="32"/>
          <w:szCs w:val="32"/>
        </w:rPr>
        <w:t>认真贯彻落实对代管项目的全过程跟踪监督，建立健全廉政工作机制，强化代管项目廉政建设。</w:t>
      </w:r>
    </w:p>
    <w:p w14:paraId="641ED9D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2.12</w:t>
      </w:r>
      <w:r>
        <w:rPr>
          <w:rFonts w:hint="eastAsia" w:ascii="方正仿宋_GB2312" w:hAnsi="方正仿宋_GB2312" w:eastAsia="方正仿宋_GB2312" w:cs="方正仿宋_GB2312"/>
          <w:sz w:val="32"/>
          <w:szCs w:val="32"/>
        </w:rPr>
        <w:t>代管合同约定的其他职责。</w:t>
      </w:r>
    </w:p>
    <w:p w14:paraId="27D3F3E7">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rPr>
      </w:pPr>
    </w:p>
    <w:p w14:paraId="281AA6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300" w:right="0" w:rightChars="0"/>
        <w:textAlignment w:val="auto"/>
        <w:rPr>
          <w:rFonts w:hint="eastAsia" w:ascii="方正仿宋_GB2312" w:hAnsi="方正仿宋_GB2312" w:eastAsia="方正仿宋_GB2312" w:cs="方正仿宋_GB2312"/>
          <w:b/>
          <w:bCs/>
          <w:spacing w:val="-4"/>
          <w:kern w:val="0"/>
          <w:sz w:val="32"/>
          <w:szCs w:val="32"/>
          <w:lang w:val="en-US" w:eastAsia="zh-CN"/>
        </w:rPr>
      </w:pPr>
      <w:r>
        <w:rPr>
          <w:rFonts w:hint="eastAsia" w:ascii="方正仿宋_GB2312" w:hAnsi="方正仿宋_GB2312" w:eastAsia="方正仿宋_GB2312" w:cs="方正仿宋_GB2312"/>
          <w:b/>
          <w:bCs/>
          <w:spacing w:val="-4"/>
          <w:kern w:val="0"/>
          <w:sz w:val="32"/>
          <w:szCs w:val="32"/>
          <w:lang w:val="en-US" w:eastAsia="zh-CN"/>
        </w:rPr>
        <w:t>3.商务条款：</w:t>
      </w:r>
    </w:p>
    <w:p w14:paraId="2BFA384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3.1质量要求为合格。</w:t>
      </w:r>
    </w:p>
    <w:p w14:paraId="1865C6A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3.2代管管理服务期：自签订代管合同之日起至项目竣工及相关工程保修期截止之日止。</w:t>
      </w:r>
    </w:p>
    <w:p w14:paraId="6B14B40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3.3代管管理费支付:根据工程投资进度分阶段支付。</w:t>
      </w:r>
    </w:p>
    <w:p w14:paraId="7A28A393">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sz w:val="32"/>
          <w:szCs w:val="32"/>
          <w:lang w:val="en-US" w:eastAsia="zh-CN"/>
        </w:rPr>
      </w:pPr>
    </w:p>
    <w:p w14:paraId="39F31F3B">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备注：采购需求以实际比选文件为准。</w:t>
      </w:r>
    </w:p>
    <w:p w14:paraId="23B67C6B">
      <w:pPr>
        <w:pStyle w:val="2"/>
        <w:rPr>
          <w:rFonts w:hint="default" w:ascii="仿宋_GB2312" w:hAnsi="仿宋" w:eastAsia="仿宋_GB2312" w:cs="仿宋"/>
          <w:b w:val="0"/>
          <w:bCs/>
          <w:sz w:val="24"/>
          <w:szCs w:val="24"/>
          <w:lang w:val="en-US" w:eastAsia="zh-CN"/>
        </w:rPr>
      </w:pPr>
    </w:p>
    <w:sectPr>
      <w:footerReference r:id="rId3" w:type="default"/>
      <w:pgSz w:w="11906" w:h="16838"/>
      <w:pgMar w:top="684" w:right="1440" w:bottom="394" w:left="1440" w:header="851" w:footer="85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CEE55E-DAA6-4BD6-9188-882F95F454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9E01FC1-F39B-4983-AB3C-0E223248CAD1}"/>
  </w:font>
  <w:font w:name="微软雅黑">
    <w:panose1 w:val="020B0503020204020204"/>
    <w:charset w:val="86"/>
    <w:family w:val="swiss"/>
    <w:pitch w:val="default"/>
    <w:sig w:usb0="80000287" w:usb1="2ACF3C50" w:usb2="00000016" w:usb3="00000000" w:csb0="0004001F" w:csb1="00000000"/>
    <w:embedRegular r:id="rId3" w:fontKey="{26A75749-8E13-472B-8802-2EA02999804E}"/>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4" w:fontKey="{81E80331-5F3D-4FC7-ABEA-1346F2AA21A3}"/>
  </w:font>
  <w:font w:name="仿宋_GB2312">
    <w:panose1 w:val="02010609030101010101"/>
    <w:charset w:val="86"/>
    <w:family w:val="modern"/>
    <w:pitch w:val="default"/>
    <w:sig w:usb0="00000001" w:usb1="080E0000" w:usb2="00000000" w:usb3="00000000" w:csb0="00040000" w:csb1="00000000"/>
    <w:embedRegular r:id="rId5" w:fontKey="{B67ABADE-1E1D-487F-A307-BFFC2C830C2B}"/>
  </w:font>
  <w:font w:name="仿宋">
    <w:panose1 w:val="02010609060101010101"/>
    <w:charset w:val="86"/>
    <w:family w:val="modern"/>
    <w:pitch w:val="default"/>
    <w:sig w:usb0="800002BF" w:usb1="38CF7CFA" w:usb2="00000016" w:usb3="00000000" w:csb0="00040001" w:csb1="00000000"/>
    <w:embedRegular r:id="rId6" w:fontKey="{88AEF87D-2703-48DD-8356-F56F29279EF3}"/>
  </w:font>
  <w:font w:name="方正小标宋_GBK">
    <w:altName w:val="微软雅黑"/>
    <w:panose1 w:val="03000509000000000000"/>
    <w:charset w:val="86"/>
    <w:family w:val="script"/>
    <w:pitch w:val="default"/>
    <w:sig w:usb0="00000000" w:usb1="00000000" w:usb2="00000010" w:usb3="00000000" w:csb0="00040000" w:csb1="00000000"/>
    <w:embedRegular r:id="rId7" w:fontKey="{5536EA2E-0891-4BAE-9A6B-D92CA99BEF28}"/>
  </w:font>
  <w:font w:name="方正仿宋_GB2312">
    <w:panose1 w:val="02000000000000000000"/>
    <w:charset w:val="86"/>
    <w:family w:val="auto"/>
    <w:pitch w:val="default"/>
    <w:sig w:usb0="A00002BF" w:usb1="184F6CFA" w:usb2="00000012" w:usb3="00000000" w:csb0="00040001" w:csb1="00000000"/>
    <w:embedRegular r:id="rId8" w:fontKey="{EA4F3054-2DDA-432A-BAFB-D97AD162E0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41B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3780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83780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ODUzNmM1NGY5ODc0MTI3NzA2NDhmZDYxZDM5ZWQifQ=="/>
  </w:docVars>
  <w:rsids>
    <w:rsidRoot w:val="00E617D7"/>
    <w:rsid w:val="00063045"/>
    <w:rsid w:val="00086BFF"/>
    <w:rsid w:val="00133F80"/>
    <w:rsid w:val="00161519"/>
    <w:rsid w:val="001C09FF"/>
    <w:rsid w:val="001F3AA5"/>
    <w:rsid w:val="00203FEF"/>
    <w:rsid w:val="002E6D8C"/>
    <w:rsid w:val="003A15E9"/>
    <w:rsid w:val="003A55E5"/>
    <w:rsid w:val="004F5C05"/>
    <w:rsid w:val="00506E31"/>
    <w:rsid w:val="0051534D"/>
    <w:rsid w:val="005309CF"/>
    <w:rsid w:val="00574A87"/>
    <w:rsid w:val="005A732E"/>
    <w:rsid w:val="005B736B"/>
    <w:rsid w:val="005E3185"/>
    <w:rsid w:val="00777D6A"/>
    <w:rsid w:val="007E47B2"/>
    <w:rsid w:val="00803A92"/>
    <w:rsid w:val="00906E39"/>
    <w:rsid w:val="00934292"/>
    <w:rsid w:val="009429CD"/>
    <w:rsid w:val="00964C34"/>
    <w:rsid w:val="00A23104"/>
    <w:rsid w:val="00AB6F75"/>
    <w:rsid w:val="00AD536A"/>
    <w:rsid w:val="00B4147A"/>
    <w:rsid w:val="00B5329D"/>
    <w:rsid w:val="00B6143F"/>
    <w:rsid w:val="00B73799"/>
    <w:rsid w:val="00C06F64"/>
    <w:rsid w:val="00C23EC9"/>
    <w:rsid w:val="00C644E3"/>
    <w:rsid w:val="00D24454"/>
    <w:rsid w:val="00E617D7"/>
    <w:rsid w:val="00E846D9"/>
    <w:rsid w:val="00EB06A8"/>
    <w:rsid w:val="00EF0118"/>
    <w:rsid w:val="00F060E2"/>
    <w:rsid w:val="00FD4CA0"/>
    <w:rsid w:val="01467E97"/>
    <w:rsid w:val="016A347B"/>
    <w:rsid w:val="03222222"/>
    <w:rsid w:val="04360ABA"/>
    <w:rsid w:val="04C64E6C"/>
    <w:rsid w:val="06073D62"/>
    <w:rsid w:val="061A5470"/>
    <w:rsid w:val="06323308"/>
    <w:rsid w:val="063C2733"/>
    <w:rsid w:val="069F7723"/>
    <w:rsid w:val="06E90FD6"/>
    <w:rsid w:val="07B93C8A"/>
    <w:rsid w:val="08D833C0"/>
    <w:rsid w:val="097F6A82"/>
    <w:rsid w:val="09B50DAF"/>
    <w:rsid w:val="0A577A8E"/>
    <w:rsid w:val="0AE777C6"/>
    <w:rsid w:val="0B2A120E"/>
    <w:rsid w:val="0C0C7637"/>
    <w:rsid w:val="0C4D21F4"/>
    <w:rsid w:val="0C6A2581"/>
    <w:rsid w:val="0D6C7260"/>
    <w:rsid w:val="0E00425E"/>
    <w:rsid w:val="0FBE714D"/>
    <w:rsid w:val="100717C7"/>
    <w:rsid w:val="10167840"/>
    <w:rsid w:val="10251539"/>
    <w:rsid w:val="108B0765"/>
    <w:rsid w:val="11CE710E"/>
    <w:rsid w:val="126A1AE5"/>
    <w:rsid w:val="12D9220E"/>
    <w:rsid w:val="133521FE"/>
    <w:rsid w:val="138418B1"/>
    <w:rsid w:val="13E81144"/>
    <w:rsid w:val="13FB51C9"/>
    <w:rsid w:val="15681628"/>
    <w:rsid w:val="1590195E"/>
    <w:rsid w:val="15F22A10"/>
    <w:rsid w:val="16B31DE9"/>
    <w:rsid w:val="174F7850"/>
    <w:rsid w:val="17967D42"/>
    <w:rsid w:val="184E2012"/>
    <w:rsid w:val="18A35E6B"/>
    <w:rsid w:val="196F11D7"/>
    <w:rsid w:val="1B415671"/>
    <w:rsid w:val="1F291E28"/>
    <w:rsid w:val="21FB464E"/>
    <w:rsid w:val="21FC5CFF"/>
    <w:rsid w:val="22333421"/>
    <w:rsid w:val="224C3F33"/>
    <w:rsid w:val="22794E74"/>
    <w:rsid w:val="240931D2"/>
    <w:rsid w:val="24417C14"/>
    <w:rsid w:val="249D2C3D"/>
    <w:rsid w:val="24E67076"/>
    <w:rsid w:val="25243E62"/>
    <w:rsid w:val="255F65A3"/>
    <w:rsid w:val="25990352"/>
    <w:rsid w:val="25D54AB7"/>
    <w:rsid w:val="26D27249"/>
    <w:rsid w:val="278E3170"/>
    <w:rsid w:val="28BC15C9"/>
    <w:rsid w:val="2A945CE4"/>
    <w:rsid w:val="2AA9206F"/>
    <w:rsid w:val="2B5B4138"/>
    <w:rsid w:val="2BCA61A5"/>
    <w:rsid w:val="2CB14E1A"/>
    <w:rsid w:val="2CD30612"/>
    <w:rsid w:val="2CE55D92"/>
    <w:rsid w:val="2D4349FC"/>
    <w:rsid w:val="2E89390F"/>
    <w:rsid w:val="2F465678"/>
    <w:rsid w:val="2FBD0A96"/>
    <w:rsid w:val="2FF228C9"/>
    <w:rsid w:val="30C95219"/>
    <w:rsid w:val="31DB3455"/>
    <w:rsid w:val="3280400C"/>
    <w:rsid w:val="32B36180"/>
    <w:rsid w:val="33266952"/>
    <w:rsid w:val="339A4291"/>
    <w:rsid w:val="34403A44"/>
    <w:rsid w:val="35325A82"/>
    <w:rsid w:val="37435D6F"/>
    <w:rsid w:val="37FB4CAB"/>
    <w:rsid w:val="380C17B8"/>
    <w:rsid w:val="38C20B2E"/>
    <w:rsid w:val="39411259"/>
    <w:rsid w:val="3C291261"/>
    <w:rsid w:val="3CE8111C"/>
    <w:rsid w:val="3DC2371B"/>
    <w:rsid w:val="3E15358C"/>
    <w:rsid w:val="3E6E6CED"/>
    <w:rsid w:val="3EDB4A95"/>
    <w:rsid w:val="3F0B7544"/>
    <w:rsid w:val="40D774DE"/>
    <w:rsid w:val="41662D14"/>
    <w:rsid w:val="419255B7"/>
    <w:rsid w:val="41A31ADD"/>
    <w:rsid w:val="41AD3B1A"/>
    <w:rsid w:val="42501169"/>
    <w:rsid w:val="440552BE"/>
    <w:rsid w:val="45E96AEC"/>
    <w:rsid w:val="46075D03"/>
    <w:rsid w:val="46366A55"/>
    <w:rsid w:val="46456C98"/>
    <w:rsid w:val="46482AEF"/>
    <w:rsid w:val="464A0062"/>
    <w:rsid w:val="46F34946"/>
    <w:rsid w:val="47A5327C"/>
    <w:rsid w:val="495F1A08"/>
    <w:rsid w:val="49F870B6"/>
    <w:rsid w:val="4ADB5E1D"/>
    <w:rsid w:val="4DFC0584"/>
    <w:rsid w:val="4EEC23A6"/>
    <w:rsid w:val="4F102BE2"/>
    <w:rsid w:val="4F3D0E54"/>
    <w:rsid w:val="4F455F5A"/>
    <w:rsid w:val="4FC17652"/>
    <w:rsid w:val="5089741D"/>
    <w:rsid w:val="50CD0660"/>
    <w:rsid w:val="5235136A"/>
    <w:rsid w:val="53B4545D"/>
    <w:rsid w:val="53CE0719"/>
    <w:rsid w:val="54613885"/>
    <w:rsid w:val="54754BEC"/>
    <w:rsid w:val="56586573"/>
    <w:rsid w:val="565E0B38"/>
    <w:rsid w:val="57066696"/>
    <w:rsid w:val="57DC7371"/>
    <w:rsid w:val="586526C3"/>
    <w:rsid w:val="587B3B84"/>
    <w:rsid w:val="59396CDC"/>
    <w:rsid w:val="5A3410A5"/>
    <w:rsid w:val="5B6D2AC1"/>
    <w:rsid w:val="5C875733"/>
    <w:rsid w:val="5FD2450B"/>
    <w:rsid w:val="5FEC2494"/>
    <w:rsid w:val="60946B72"/>
    <w:rsid w:val="609F196E"/>
    <w:rsid w:val="613247BC"/>
    <w:rsid w:val="627377C8"/>
    <w:rsid w:val="6386246E"/>
    <w:rsid w:val="63AA16C9"/>
    <w:rsid w:val="64124205"/>
    <w:rsid w:val="6723579F"/>
    <w:rsid w:val="6742531D"/>
    <w:rsid w:val="68B57855"/>
    <w:rsid w:val="6A955B90"/>
    <w:rsid w:val="6AFF0A3C"/>
    <w:rsid w:val="6EF54E4F"/>
    <w:rsid w:val="6F4831D1"/>
    <w:rsid w:val="6FDC4A6C"/>
    <w:rsid w:val="70073F07"/>
    <w:rsid w:val="70877D29"/>
    <w:rsid w:val="71E8430A"/>
    <w:rsid w:val="71F328DC"/>
    <w:rsid w:val="724E4FA2"/>
    <w:rsid w:val="7284105E"/>
    <w:rsid w:val="74806F69"/>
    <w:rsid w:val="74C920E6"/>
    <w:rsid w:val="7620507B"/>
    <w:rsid w:val="7664626B"/>
    <w:rsid w:val="7AA81447"/>
    <w:rsid w:val="7AD35947"/>
    <w:rsid w:val="7CB21090"/>
    <w:rsid w:val="7FC9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1"/>
    <w:semiHidden/>
    <w:unhideWhenUsed/>
    <w:qFormat/>
    <w:uiPriority w:val="99"/>
    <w:pPr>
      <w:widowControl/>
      <w:adjustRightInd w:val="0"/>
      <w:snapToGrid w:val="0"/>
      <w:jc w:val="left"/>
    </w:pPr>
    <w:rPr>
      <w:rFonts w:ascii="Tahoma" w:hAnsi="Tahoma" w:eastAsia="微软雅黑" w:cstheme="minorBidi"/>
      <w:kern w:val="0"/>
      <w:sz w:val="18"/>
      <w:szCs w:val="18"/>
    </w:rPr>
  </w:style>
  <w:style w:type="paragraph" w:styleId="5">
    <w:name w:val="footer"/>
    <w:basedOn w:val="1"/>
    <w:link w:val="10"/>
    <w:unhideWhenUsed/>
    <w:qFormat/>
    <w:uiPriority w:val="99"/>
    <w:pPr>
      <w:widowControl/>
      <w:tabs>
        <w:tab w:val="center" w:pos="4153"/>
        <w:tab w:val="right" w:pos="8306"/>
      </w:tabs>
      <w:adjustRightInd w:val="0"/>
      <w:snapToGrid w:val="0"/>
      <w:spacing w:after="200"/>
      <w:jc w:val="left"/>
    </w:pPr>
    <w:rPr>
      <w:rFonts w:ascii="Tahoma" w:hAnsi="Tahoma" w:eastAsia="微软雅黑" w:cstheme="minorBidi"/>
      <w:kern w:val="0"/>
      <w:sz w:val="18"/>
      <w:szCs w:val="18"/>
    </w:rPr>
  </w:style>
  <w:style w:type="paragraph" w:styleId="6">
    <w:name w:val="header"/>
    <w:basedOn w:val="1"/>
    <w:link w:val="9"/>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character" w:customStyle="1" w:styleId="9">
    <w:name w:val="页眉 Char"/>
    <w:basedOn w:val="8"/>
    <w:link w:val="6"/>
    <w:qFormat/>
    <w:uiPriority w:val="99"/>
    <w:rPr>
      <w:rFonts w:ascii="Tahoma" w:hAnsi="Tahoma"/>
      <w:sz w:val="18"/>
      <w:szCs w:val="18"/>
    </w:rPr>
  </w:style>
  <w:style w:type="character" w:customStyle="1" w:styleId="10">
    <w:name w:val="页脚 Char"/>
    <w:basedOn w:val="8"/>
    <w:link w:val="5"/>
    <w:qFormat/>
    <w:uiPriority w:val="99"/>
    <w:rPr>
      <w:rFonts w:ascii="Tahoma" w:hAnsi="Tahoma"/>
      <w:sz w:val="18"/>
      <w:szCs w:val="18"/>
    </w:rPr>
  </w:style>
  <w:style w:type="character" w:customStyle="1" w:styleId="11">
    <w:name w:val="批注框文本 Char"/>
    <w:basedOn w:val="8"/>
    <w:link w:val="4"/>
    <w:semiHidden/>
    <w:qFormat/>
    <w:uiPriority w:val="99"/>
    <w:rPr>
      <w:rFonts w:ascii="Tahoma" w:hAnsi="Tahoma"/>
      <w:sz w:val="18"/>
      <w:szCs w:val="18"/>
    </w:rPr>
  </w:style>
  <w:style w:type="character" w:customStyle="1" w:styleId="12">
    <w:name w:val="日期 Char"/>
    <w:basedOn w:val="8"/>
    <w:link w:val="3"/>
    <w:semiHidden/>
    <w:qFormat/>
    <w:uiPriority w:val="99"/>
    <w:rPr>
      <w:rFonts w:ascii="Calibri" w:hAnsi="Calibri" w:eastAsia="宋体" w:cs="Times New Roman"/>
      <w:kern w:val="2"/>
      <w:sz w:val="21"/>
      <w:szCs w:val="2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2273</Words>
  <Characters>2381</Characters>
  <Lines>13</Lines>
  <Paragraphs>3</Paragraphs>
  <TotalTime>0</TotalTime>
  <ScaleCrop>false</ScaleCrop>
  <LinksUpToDate>false</LinksUpToDate>
  <CharactersWithSpaces>2477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2021-10-26T03:42:00Z</dcterms:created>
  <dc:creator>蔡金康</dc:creator>
  <cp:lastModifiedBy>L.Shu</cp:lastModifiedBy>
  <cp:lastPrinted>2023-06-21T01:56:00Z</cp:lastPrinted>
  <dcterms:modified xsi:type="dcterms:W3CDTF">2024-09-03T04:13:25Z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9460A4D1C9314F3F89E5BA7333C9C4D2</vt:lpwstr>
  </property>
</Properties>
</file>